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imai 모델카드 — 균열 검출</w:t>
      </w:r>
    </w:p>
    <w:p>
      <w:pPr>
        <w:pStyle w:val="Heading1"/>
      </w:pPr>
      <w:bookmarkStart w:id="20" w:name="X4d4add1d51f1f96b480bdeadf4dd8e9cc761917"/>
      <w:r>
        <w:t xml:space="preserve">Model Card — 균열 Dense-Segmentation (crack dense-seg)</w:t>
      </w:r>
      <w:bookmarkEnd w:id="20"/>
    </w:p>
    <w:p>
      <w:pPr>
        <w:pStyle w:val="BlockText"/>
      </w:pPr>
      <w:r>
        <w:t xml:space="preserve">검증가능 정직성 자산(Track C). 대부분의 벤더는 공개 벤치·모델카드를 내지 않는다 — 우리는 낸다,</w:t>
      </w:r>
      <w:r>
        <w:t xml:space="preserve"> </w:t>
      </w:r>
      <w:r>
        <w:rPr>
          <w:b/>
        </w:rPr>
        <w:t xml:space="preserve">약한 수치까지 포함해서</w:t>
      </w:r>
      <w:r>
        <w:t xml:space="preserve">.</w:t>
      </w:r>
      <w:r>
        <w:t xml:space="preserve"> </w:t>
      </w:r>
      <w:r>
        <w:t xml:space="preserve">작성 2026-07-08. 벤치: CrackSeg9k(Harvard Dataverse DOI:10.7910/DVN/EGIEBY, ECCV-W 2022).</w:t>
      </w:r>
    </w:p>
    <w:p>
      <w:pPr>
        <w:pStyle w:val="Heading2"/>
      </w:pPr>
      <w:bookmarkStart w:id="21" w:name="모델-개요"/>
      <w:r>
        <w:t xml:space="preserve">1. 모델 개요</w:t>
      </w:r>
      <w:bookmarkEnd w:id="21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아키텍처</w:t>
      </w:r>
      <w:r>
        <w:t xml:space="preserve">: U-Net (encoder = EfficientNet-B4, ImageNet init), 이진 시그모이드 dense-seg (픽셀당 crack/배경).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추론</w:t>
      </w:r>
      <w:r>
        <w:t xml:space="preserve">: 슬라이딩윈도우 타일링(가우시안 가중 병합) — 고해상 현장 이미지(1920px+)에서 다운스케일 소실 없이 픽셀정확.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손실</w:t>
      </w:r>
      <w:r>
        <w:t xml:space="preserve">: 복합(Dice + clDice 연결성 + Focal-Tversky) — 균열의 가늘고 연결된 위상 보존.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용도상 위치</w:t>
      </w:r>
      <w:r>
        <w:t xml:space="preserve">: 검출 1차 스테이지. 후단에 VLM 2차 오탐게이트(맥락판정)로 이음부·그림자·얼룩 오탐 제거([[inspect-service-m1]]).</w:t>
      </w:r>
    </w:p>
    <w:p>
      <w:pPr>
        <w:pStyle w:val="Heading2"/>
      </w:pPr>
      <w:bookmarkStart w:id="22" w:name="의도된-사용-범위-밖"/>
      <w:r>
        <w:t xml:space="preserve">2. 의도된 사용 / 범위 밖</w:t>
      </w:r>
      <w:bookmarkEnd w:id="22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의도</w:t>
      </w:r>
      <w:r>
        <w:t xml:space="preserve">: 인프라(교량·터널·하수관로) 표면 균열의</w:t>
      </w:r>
      <w:r>
        <w:t xml:space="preserve"> </w:t>
      </w:r>
      <w:r>
        <w:rPr>
          <w:b/>
        </w:rPr>
        <w:t xml:space="preserve">픽셀 세그먼트 + 길이·폭·심각도 정량화</w:t>
      </w:r>
      <w:r>
        <w:t xml:space="preserve">.</w:t>
      </w:r>
      <w:r>
        <w:t xml:space="preserve"> </w:t>
      </w:r>
      <w:r>
        <w:rPr>
          <w:b/>
        </w:rPr>
        <w:t xml:space="preserve">점검자-보조</w:t>
      </w:r>
      <w:r>
        <w:t xml:space="preserve">(자율판정 아님) — 산출은 점검자 검토 대상.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범위 밖</w:t>
      </w:r>
      <w:r>
        <w:t xml:space="preserve">: 자율 안전판정·구조 건전성 최종결론(책임기술자 몫), 균열 외 손상은 별도 다중결함 모델. 학습분포와 크게 다른 표면은 성능저하(§6).</w:t>
      </w:r>
    </w:p>
    <w:p>
      <w:pPr>
        <w:pStyle w:val="Heading2"/>
      </w:pPr>
      <w:bookmarkStart w:id="23" w:name="학습-데이터"/>
      <w:r>
        <w:t xml:space="preserve">3. 학습 데이터</w:t>
      </w:r>
      <w:bookmarkEnd w:id="23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배포 모델(bridge)</w:t>
      </w:r>
      <w:r>
        <w:t xml:space="preserve">: 자사 교량 도메인 데이터(현장 드론/스캔). 시설별 어댑터 정책([[crack-dense-seg-win]]).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본 벤치용 in-domain 모델</w:t>
      </w:r>
      <w:r>
        <w:t xml:space="preserve">: CrackSeg9k train 8,249장(하위셋 층화). CrackSeg9k = 10개 공개셋(Crack500·DeepCrack·SDNET·CrackTree·GAPS·Volker·Rissbilder·Noncrack·Masonry·Ceramic) 통합·정제, 400×400, binary mask.</w:t>
      </w:r>
    </w:p>
    <w:p>
      <w:pPr>
        <w:pStyle w:val="Heading2"/>
      </w:pPr>
      <w:bookmarkStart w:id="24" w:name="평가-데이터지표"/>
      <w:r>
        <w:t xml:space="preserve">4. 평가 — 데이터·지표</w:t>
      </w:r>
      <w:bookmarkEnd w:id="24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벤치</w:t>
      </w:r>
      <w:r>
        <w:t xml:space="preserve">: CrackSeg9k</w:t>
      </w:r>
      <w:r>
        <w:t xml:space="preserve"> </w:t>
      </w:r>
      <w:r>
        <w:rPr>
          <w:b/>
        </w:rPr>
        <w:t xml:space="preserve">test 455장</w:t>
      </w:r>
      <w:r>
        <w:t xml:space="preserve">(하위셋 층화 90/5/5, seed 42, 학습 미노출). noncrack 70장 포함(오탐 측정).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지표(논문 동일 = 공정비교)</w:t>
      </w:r>
      <w:r>
        <w:t xml:space="preserve">: pixel-level micro(전 픽셀 누적 혼동행렬)</w:t>
      </w:r>
      <w:r>
        <w:t xml:space="preserve"> </w:t>
      </w:r>
      <w:r>
        <w:rPr>
          <w:b/>
        </w:rPr>
        <w:t xml:space="preserve">mIoU</w:t>
      </w:r>
      <w:r>
        <w:t xml:space="preserve">(crack+배경 평균)·</w:t>
      </w:r>
      <w:r>
        <w:rPr>
          <w:b/>
        </w:rPr>
        <w:t xml:space="preserve">Dice/F1</w:t>
      </w:r>
      <w:r>
        <w:t xml:space="preserve">·precision·recall. 마스크 이진화 = &gt;127(antialiased 코어).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추가(우리 강점, 병기)</w:t>
      </w:r>
      <w:r>
        <w:t xml:space="preserve">:</w:t>
      </w:r>
      <w:r>
        <w:t xml:space="preserve"> </w:t>
      </w:r>
      <w:r>
        <w:rPr>
          <w:b/>
        </w:rPr>
        <w:t xml:space="preserve">boundary-tolerant F1@2px</w:t>
      </w:r>
      <w:r>
        <w:t xml:space="preserve">(=OmniCrack clIoU 계열)·</w:t>
      </w:r>
      <w:r>
        <w:rPr>
          <w:b/>
        </w:rPr>
        <w:t xml:space="preserve">clDice</w:t>
      </w:r>
      <w:r>
        <w:t xml:space="preserve">(연결성) — 균열 위상 품질.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기준선(논문 Table 4)</w:t>
      </w:r>
      <w:r>
        <w:t xml:space="preserve">: SOTA</w:t>
      </w:r>
      <w:r>
        <w:t xml:space="preserve"> </w:t>
      </w:r>
      <w:r>
        <w:rPr>
          <w:b/>
        </w:rPr>
        <w:t xml:space="preserve">mIoU 0.7712 / F1 0.7238</w:t>
      </w:r>
      <w:r>
        <w:t xml:space="preserve">(DeepLabV3+ResNet101+DINO). U-Net 계열 F1 0.50~0.57(Pix2Pix-UNet 0.565, SWIN-UNet 0.501).</w:t>
      </w:r>
    </w:p>
    <w:p>
      <w:pPr>
        <w:pStyle w:val="Heading2"/>
      </w:pPr>
      <w:bookmarkStart w:id="25" w:name="정량-결과-crackseg9k-test-n455"/>
      <w:r>
        <w:t xml:space="preserve">5. 정량 결과 (CrackSeg9k test, n=455)</w:t>
      </w:r>
      <w:bookmarkEnd w:id="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조건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mIoU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Dice/F1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precision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recall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boundaryF1@2px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clDice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(a) cross-domain zero-shot</w:t>
            </w:r>
            <w:r>
              <w:t xml:space="preserve"> </w:t>
            </w:r>
            <w:r>
              <w:t xml:space="preserve">(배포 bridge 모델, 무학습)</w:t>
            </w:r>
          </w:p>
        </w:tc>
        <w:tc>
          <w:p>
            <w:pPr>
              <w:pStyle w:val="Compact"/>
              <w:jc w:val="left"/>
            </w:pPr>
            <w:r>
              <w:t xml:space="preserve">0.529</w:t>
            </w:r>
          </w:p>
        </w:tc>
        <w:tc>
          <w:p>
            <w:pPr>
              <w:pStyle w:val="Compact"/>
              <w:jc w:val="left"/>
            </w:pPr>
            <w:r>
              <w:t xml:space="preserve">0.164</w:t>
            </w:r>
          </w:p>
        </w:tc>
        <w:tc>
          <w:p>
            <w:pPr>
              <w:pStyle w:val="Compact"/>
              <w:jc w:val="left"/>
            </w:pPr>
            <w:r>
              <w:t xml:space="preserve">0.601</w:t>
            </w:r>
          </w:p>
        </w:tc>
        <w:tc>
          <w:p>
            <w:pPr>
              <w:pStyle w:val="Compact"/>
              <w:jc w:val="left"/>
            </w:pPr>
            <w:r>
              <w:t xml:space="preserve">0.095</w:t>
            </w:r>
          </w:p>
        </w:tc>
        <w:tc>
          <w:p>
            <w:pPr>
              <w:pStyle w:val="Compact"/>
              <w:jc w:val="left"/>
            </w:pPr>
            <w:r>
              <w:t xml:space="preserve">0.300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rPr>
                <w:b/>
              </w:rPr>
              <w:t xml:space="preserve">(b) in-domain</w:t>
            </w:r>
            <w:r>
              <w:t xml:space="preserve"> </w:t>
            </w:r>
            <w:r>
              <w:t xml:space="preserve">(우리 U-Net, val-선택, thr0.5)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0.772</w:t>
            </w:r>
          </w:p>
        </w:tc>
        <w:tc>
          <w:p>
            <w:pPr>
              <w:pStyle w:val="Compact"/>
              <w:jc w:val="left"/>
            </w:pPr>
            <w:r>
              <w:rPr>
                <w:b/>
              </w:rPr>
              <w:t xml:space="preserve">0.721</w:t>
            </w:r>
          </w:p>
        </w:tc>
        <w:tc>
          <w:p>
            <w:pPr>
              <w:pStyle w:val="Compact"/>
              <w:jc w:val="left"/>
            </w:pPr>
            <w:r>
              <w:t xml:space="preserve">0.664</w:t>
            </w:r>
          </w:p>
        </w:tc>
        <w:tc>
          <w:p>
            <w:pPr>
              <w:pStyle w:val="Compact"/>
              <w:jc w:val="left"/>
            </w:pPr>
            <w:r>
              <w:t xml:space="preserve">0.789</w:t>
            </w:r>
          </w:p>
        </w:tc>
        <w:tc>
          <w:p>
            <w:pPr>
              <w:pStyle w:val="Compact"/>
              <w:jc w:val="left"/>
            </w:pPr>
            <w:r>
              <w:t xml:space="preserve">0.813</w:t>
            </w:r>
          </w:p>
        </w:tc>
        <w:tc>
          <w:p>
            <w:pPr>
              <w:pStyle w:val="Compact"/>
              <w:jc w:val="left"/>
            </w:pPr>
            <w:r>
              <w:t xml:space="preserve">0.762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(b′) in-domain (50ep 최종본, thr0.5)</w:t>
            </w:r>
          </w:p>
        </w:tc>
        <w:tc>
          <w:p>
            <w:pPr>
              <w:pStyle w:val="Compact"/>
              <w:jc w:val="left"/>
            </w:pPr>
            <w:r>
              <w:t xml:space="preserve">0.779</w:t>
            </w:r>
          </w:p>
        </w:tc>
        <w:tc>
          <w:p>
            <w:pPr>
              <w:pStyle w:val="Compact"/>
              <w:jc w:val="left"/>
            </w:pPr>
            <w:r>
              <w:t xml:space="preserve">0.732</w:t>
            </w:r>
          </w:p>
        </w:tc>
        <w:tc>
          <w:p>
            <w:pPr>
              <w:pStyle w:val="Compact"/>
              <w:jc w:val="left"/>
            </w:pPr>
            <w:r>
              <w:t xml:space="preserve">0.669</w:t>
            </w:r>
          </w:p>
        </w:tc>
        <w:tc>
          <w:p>
            <w:pPr>
              <w:pStyle w:val="Compact"/>
              <w:jc w:val="left"/>
            </w:pPr>
            <w:r>
              <w:t xml:space="preserve">0.809</w:t>
            </w:r>
          </w:p>
        </w:tc>
        <w:tc>
          <w:p>
            <w:pPr>
              <w:pStyle w:val="Compact"/>
              <w:jc w:val="left"/>
            </w:pPr>
            <w:r>
              <w:t xml:space="preserve">0.812</w:t>
            </w:r>
          </w:p>
        </w:tc>
        <w:tc>
          <w:p>
            <w:pPr>
              <w:pStyle w:val="Compact"/>
              <w:jc w:val="left"/>
            </w:pPr>
            <w:r>
              <w:t xml:space="preserve">0.760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참조: 논문 SOTA (DeepLabV3+R101+DINO)</w:t>
            </w:r>
          </w:p>
        </w:tc>
        <w:tc>
          <w:p>
            <w:pPr>
              <w:pStyle w:val="Compact"/>
              <w:jc w:val="left"/>
            </w:pPr>
            <w:r>
              <w:t xml:space="preserve">0.7712</w:t>
            </w:r>
          </w:p>
        </w:tc>
        <w:tc>
          <w:p>
            <w:pPr>
              <w:pStyle w:val="Compact"/>
              <w:jc w:val="left"/>
            </w:pPr>
            <w:r>
              <w:t xml:space="preserve">0.7238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참조: 논문 U-Net 계열</w:t>
            </w:r>
          </w:p>
        </w:tc>
        <w:tc>
          <w:p>
            <w:pPr>
              <w:pStyle w:val="Compact"/>
              <w:jc w:val="left"/>
            </w:pPr>
            <w:r>
              <w:t xml:space="preserve">0.64~0.67</w:t>
            </w:r>
          </w:p>
        </w:tc>
        <w:tc>
          <w:p>
            <w:pPr>
              <w:pStyle w:val="Compact"/>
              <w:jc w:val="left"/>
            </w:pPr>
            <w:r>
              <w:t xml:space="preserve">0.50~0.57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BodyText"/>
      </w:pPr>
      <w:r>
        <w:rPr>
          <w:b/>
        </w:rPr>
        <w:t xml:space="preserve">해석(정직)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(a) zero-shot이 낮은 건 결함이 아니라 사실이다.</w:t>
      </w:r>
      <w:r>
        <w:t xml:space="preserve"> </w:t>
      </w:r>
      <w:r>
        <w:t xml:space="preserve">교량 전용 모델을 다양분포 학술벤치에 blind 적용하면 recall 9.5% —</w:t>
      </w:r>
      <w:r>
        <w:t xml:space="preserve"> </w:t>
      </w:r>
      <w:r>
        <w:rPr>
          <w:b/>
        </w:rPr>
        <w:t xml:space="preserve">도메인갭은 실재한다</w:t>
      </w:r>
      <w:r>
        <w:t xml:space="preserve">. 이것이 우리가</w:t>
      </w:r>
      <w:r>
        <w:t xml:space="preserve"> </w:t>
      </w:r>
      <w:r>
        <w:t xml:space="preserve">“</w:t>
      </w:r>
      <w:r>
        <w:t xml:space="preserve">순수합성·범용 자율판정</w:t>
      </w:r>
      <w:r>
        <w:t xml:space="preserve">”</w:t>
      </w:r>
      <w:r>
        <w:t xml:space="preserve">을 팔지 않고</w:t>
      </w:r>
      <w:r>
        <w:t xml:space="preserve"> </w:t>
      </w:r>
      <w:r>
        <w:rPr>
          <w:b/>
        </w:rPr>
        <w:t xml:space="preserve">시설별 데이터엔진 적응</w:t>
      </w:r>
      <w:r>
        <w:t xml:space="preserve">을 파는 이유다([[business-direction]] [[active-learning-moat]]).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(b) in-domain = 우리 아키텍처의 실력</w:t>
      </w:r>
      <w:r>
        <w:t xml:space="preserve">:</w:t>
      </w:r>
      <w:r>
        <w:t xml:space="preserve"> </w:t>
      </w:r>
      <w:r>
        <w:rPr>
          <w:b/>
        </w:rPr>
        <w:t xml:space="preserve">plain U-Net(EfficientNet-B4)이 mIoU 0.772/F1 0.721로 논문 SOTA(0.771/0.724)와 동급</w:t>
      </w:r>
      <w:r>
        <w:t xml:space="preserve">. 논문 SOTA는 더 무거운 DeepLabV3+ResNet101에</w:t>
      </w:r>
      <w:r>
        <w:t xml:space="preserve"> </w:t>
      </w:r>
      <w:r>
        <w:rPr>
          <w:b/>
        </w:rPr>
        <w:t xml:space="preserve">DINO 자기지도 특징을 prior로</w:t>
      </w:r>
      <w:r>
        <w:t xml:space="preserve"> </w:t>
      </w:r>
      <w:r>
        <w:t xml:space="preserve">얹은 구성 — 우리는 표준 U-Net 하나로 도달. 50ep 최종본은 mIoU 0.779/F1 0.732로</w:t>
      </w:r>
      <w:r>
        <w:t xml:space="preserve"> </w:t>
      </w:r>
      <w:r>
        <w:rPr>
          <w:b/>
        </w:rPr>
        <w:t xml:space="preserve">소폭 상회</w:t>
      </w:r>
      <w:r>
        <w:t xml:space="preserve">. 임계값 민감도 거의 0(thr 0.3~0.7에서 F1 ±0.002)이라 test-튜닝 무관, 기본 0.5로 보고.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경계 위상 품질</w:t>
      </w:r>
      <w:r>
        <w:t xml:space="preserve">: boundaryF1@2px 0.81·clDice 0.76 — 픽셀 F1 너머 균열의</w:t>
      </w:r>
      <w:r>
        <w:t xml:space="preserve"> </w:t>
      </w:r>
      <w:r>
        <w:rPr>
          <w:b/>
        </w:rPr>
        <w:t xml:space="preserve">연결성</w:t>
      </w:r>
      <w:r>
        <w:t xml:space="preserve">까지 확인(논문 미보고 지표, 우리 강점).</w:t>
      </w:r>
    </w:p>
    <w:p>
      <w:pPr>
        <w:pStyle w:val="Heading2"/>
      </w:pPr>
      <w:bookmarkStart w:id="26" w:name="한계-정직-고지"/>
      <w:r>
        <w:t xml:space="preserve">6. 한계 · 정직 고지</w:t>
      </w:r>
      <w:bookmarkEnd w:id="26"/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★ split이 논문과 동일하지 않다</w:t>
      </w:r>
      <w:r>
        <w:t xml:space="preserve">: CrackSeg9k 공식 test 파티션이 공개 형태로 재현되지 않아,</w:t>
      </w:r>
      <w:r>
        <w:t xml:space="preserve"> </w:t>
      </w:r>
      <w:r>
        <w:rPr>
          <w:b/>
        </w:rPr>
        <w:t xml:space="preserve">동일 데이터·동일 90/5/5 비율·동일 지표·동일 이진화</w:t>
      </w:r>
      <w:r>
        <w:t xml:space="preserve">로 자체 층화 split(seed 42)을 썼다. 따라서</w:t>
      </w:r>
      <w:r>
        <w:t xml:space="preserve"> </w:t>
      </w:r>
      <w:r>
        <w:t xml:space="preserve">“</w:t>
      </w:r>
      <w:r>
        <w:t xml:space="preserve">동일 테스트셋에서 SOTA를 이겼다</w:t>
      </w:r>
      <w:r>
        <w:t xml:space="preserve">”</w:t>
      </w:r>
      <w:r>
        <w:t xml:space="preserve">가 아니라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비교가능한 split·동일 지표에서 공개수치에 도달/상회</w:t>
      </w:r>
      <w:r>
        <w:rPr>
          <w:b/>
        </w:rPr>
        <w:t xml:space="preserve">”</w:t>
      </w:r>
      <w:r>
        <w:t xml:space="preserve">가 정확한 주장. 우리 split은 재현가능(스크립트+seed 공개).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도메인 의존성</w:t>
      </w:r>
      <w:r>
        <w:t xml:space="preserve">: 성능은 학습분포에 강하게 의존. 신규 시설·표면은 소량 재학습(데이터엔진) 전엔 (a) 수준 위험. 배포 시</w:t>
      </w:r>
      <w:r>
        <w:t xml:space="preserve"> </w:t>
      </w:r>
      <w:r>
        <w:rPr>
          <w:b/>
        </w:rPr>
        <w:t xml:space="preserve">고객 데이터로 재측정</w:t>
      </w:r>
      <w:r>
        <w:t xml:space="preserve">이 원칙(측정-먼저).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마스크 임계값</w:t>
      </w:r>
      <w:r>
        <w:t xml:space="preserve">: CrackSeg9k 마스크는 antialiased(0 / 251~255 + 엣지 1~15). &gt;127 이진화 사용 — 엣지픽셀 포함여부로 F1 ±1~2%p 변동 가능(값 명시=재현가능).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micro 지표</w:t>
      </w:r>
      <w:r>
        <w:t xml:space="preserve">: 큰 균열이 픽셀수로 가중. per-image macro는 소형균열에 더 엄격(별도 산출 가능).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noncrack 포함</w:t>
      </w:r>
      <w:r>
        <w:t xml:space="preserve">: test에 무균열 70장 — precision/배경 IoU에 반영(오탐 정직 측정).</w:t>
      </w:r>
    </w:p>
    <w:p>
      <w:pPr>
        <w:numPr>
          <w:ilvl w:val="0"/>
          <w:numId w:val="1005"/>
        </w:numPr>
        <w:pStyle w:val="Compact"/>
      </w:pPr>
      <w:r>
        <w:rPr>
          <w:b/>
        </w:rPr>
        <w:t xml:space="preserve">단일 시드</w:t>
      </w:r>
      <w:r>
        <w:t xml:space="preserve">: in-domain은 1 시드. 분산은 후속.</w:t>
      </w:r>
    </w:p>
    <w:p>
      <w:pPr>
        <w:pStyle w:val="Heading2"/>
      </w:pPr>
      <w:bookmarkStart w:id="27" w:name="책임있는-사용"/>
      <w:r>
        <w:t xml:space="preserve">7. 책임있는 사용</w:t>
      </w:r>
      <w:bookmarkEnd w:id="27"/>
    </w:p>
    <w:p>
      <w:pPr>
        <w:pStyle w:val="FirstParagraph"/>
      </w:pPr>
      <w:r>
        <w:t xml:space="preserve">온프렘·폐쇄망 배포(데이터 외부유출 없음). 점검자-보조 프레임 — 최종 안전판정은 자격 책임기술자. 광고성 단일수치 지양,</w:t>
      </w:r>
      <w:r>
        <w:t xml:space="preserve"> </w:t>
      </w:r>
      <w:r>
        <w:rPr>
          <w:b/>
        </w:rPr>
        <w:t xml:space="preserve">운영점·불확실도는 보정된 확률</w:t>
      </w:r>
      <w:r>
        <w:t xml:space="preserve">로 제공([[strategy-synthesis-plan]] gate-calibration).</w:t>
      </w:r>
    </w:p>
    <w:p>
      <w:pPr>
        <w:pStyle w:val="Heading2"/>
      </w:pPr>
      <w:bookmarkStart w:id="28" w:name="재현"/>
      <w:r>
        <w:t xml:space="preserve">재현</w:t>
      </w:r>
      <w:bookmarkEnd w:id="28"/>
    </w:p>
    <w:p>
      <w:pPr>
        <w:pStyle w:val="FirstParagraph"/>
      </w:pPr>
      <w:r>
        <w:rPr>
          <w:rStyle w:val="VerbatimChar"/>
        </w:rPr>
        <w:t xml:space="preserve">prep_crackseg9k.py</w:t>
      </w:r>
      <w:r>
        <w:t xml:space="preserve">(층화 split, seed 42) →</w:t>
      </w:r>
      <w:r>
        <w:t xml:space="preserve"> </w:t>
      </w:r>
      <w:r>
        <w:rPr>
          <w:rStyle w:val="VerbatimChar"/>
        </w:rPr>
        <w:t xml:space="preserve">bench_crackseg9k.py</w:t>
      </w:r>
      <w:r>
        <w:t xml:space="preserve">(pixel micro 지표, thr 스윕) /</w:t>
      </w:r>
      <w:r>
        <w:t xml:space="preserve"> </w:t>
      </w:r>
      <w:r>
        <w:rPr>
          <w:rStyle w:val="VerbatimChar"/>
        </w:rPr>
        <w:t xml:space="preserve">train_seg.py</w:t>
      </w:r>
      <w:r>
        <w:t xml:space="preserve">(in-domain). 산출</w:t>
      </w:r>
      <w:r>
        <w:t xml:space="preserve"> </w:t>
      </w:r>
      <w:r>
        <w:rPr>
          <w:rStyle w:val="VerbatimChar"/>
        </w:rPr>
        <w:t xml:space="preserve">crackseg9k_{zeroshot,indomain}.json</w:t>
      </w:r>
      <w:r>
        <w:t xml:space="preserve">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imai 모델카드 — 균열 검출</dc:title>
  <dc:creator/>
  <cp:keywords/>
  <dcterms:created xsi:type="dcterms:W3CDTF">2026-07-09T23:41:31Z</dcterms:created>
  <dcterms:modified xsi:type="dcterms:W3CDTF">2026-07-09T23:41:31Z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